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numPr>
          <w:ilvl w:val="0"/>
          <w:numId w:val="2"/>
        </w:numPr>
        <w:suppressAutoHyphens w:val="1"/>
        <w:spacing w:before="154"/>
        <w:jc w:val="left"/>
        <w:outlineLvl w:val="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Types of tissues:</w:t>
      </w:r>
    </w:p>
    <w:p>
      <w:pPr>
        <w:pStyle w:val="Default"/>
        <w:numPr>
          <w:ilvl w:val="2"/>
          <w:numId w:val="4"/>
        </w:numPr>
        <w:suppressAutoHyphens w:val="1"/>
        <w:spacing w:before="115"/>
        <w:jc w:val="left"/>
        <w:outlineLvl w:val="2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Epithelial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lining and covering</w:t>
      </w:r>
    </w:p>
    <w:p>
      <w:pPr>
        <w:pStyle w:val="Default"/>
        <w:numPr>
          <w:ilvl w:val="2"/>
          <w:numId w:val="4"/>
        </w:numPr>
        <w:suppressAutoHyphens w:val="1"/>
        <w:spacing w:before="115"/>
        <w:jc w:val="left"/>
        <w:outlineLvl w:val="2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Connective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 xml:space="preserve">support </w:t>
      </w:r>
    </w:p>
    <w:p>
      <w:pPr>
        <w:pStyle w:val="Default"/>
        <w:numPr>
          <w:ilvl w:val="2"/>
          <w:numId w:val="4"/>
        </w:numPr>
        <w:suppressAutoHyphens w:val="1"/>
        <w:spacing w:before="115"/>
        <w:jc w:val="left"/>
        <w:outlineLvl w:val="2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Muscle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movement</w:t>
      </w:r>
    </w:p>
    <w:p>
      <w:pPr>
        <w:pStyle w:val="Default"/>
        <w:numPr>
          <w:ilvl w:val="2"/>
          <w:numId w:val="4"/>
        </w:numPr>
        <w:suppressAutoHyphens w:val="1"/>
        <w:spacing w:before="115"/>
        <w:jc w:val="left"/>
        <w:outlineLvl w:val="2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Nervous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control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Epithelial Tissue Notes</w:t>
      </w:r>
    </w:p>
    <w:p>
      <w:pPr>
        <w:pStyle w:val="Default"/>
        <w:numPr>
          <w:ilvl w:val="0"/>
          <w:numId w:val="5"/>
        </w:numPr>
        <w:suppressAutoHyphens w:val="1"/>
        <w:spacing w:before="154"/>
        <w:jc w:val="left"/>
        <w:outlineLvl w:val="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Functions of epithelium</w:t>
      </w:r>
    </w:p>
    <w:p>
      <w:pPr>
        <w:pStyle w:val="Default"/>
        <w:numPr>
          <w:ilvl w:val="1"/>
          <w:numId w:val="5"/>
        </w:numPr>
        <w:suppressAutoHyphens w:val="1"/>
        <w:spacing w:before="134"/>
        <w:jc w:val="left"/>
        <w:outlineLvl w:val="1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Protection</w:t>
      </w:r>
    </w:p>
    <w:p>
      <w:pPr>
        <w:pStyle w:val="Default"/>
        <w:numPr>
          <w:ilvl w:val="1"/>
          <w:numId w:val="5"/>
        </w:numPr>
        <w:suppressAutoHyphens w:val="1"/>
        <w:spacing w:before="134"/>
        <w:jc w:val="left"/>
        <w:outlineLvl w:val="1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Absorption, secretion, and ion transport</w:t>
      </w:r>
    </w:p>
    <w:p>
      <w:pPr>
        <w:pStyle w:val="Default"/>
        <w:numPr>
          <w:ilvl w:val="1"/>
          <w:numId w:val="5"/>
        </w:numPr>
        <w:suppressAutoHyphens w:val="1"/>
        <w:spacing w:before="134"/>
        <w:jc w:val="left"/>
        <w:outlineLvl w:val="1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Filtration</w:t>
      </w:r>
    </w:p>
    <w:p>
      <w:pPr>
        <w:pStyle w:val="Default"/>
        <w:numPr>
          <w:ilvl w:val="1"/>
          <w:numId w:val="5"/>
        </w:numPr>
        <w:suppressAutoHyphens w:val="1"/>
        <w:spacing w:before="134"/>
        <w:jc w:val="left"/>
        <w:outlineLvl w:val="1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Forms slippery surfaces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134"/>
        <w:jc w:val="left"/>
        <w:outlineLvl w:val="1"/>
        <w:rPr>
          <w:rFonts w:ascii="Arial" w:cs="Arial" w:hAnsi="Arial" w:eastAsia="Arial"/>
          <w:sz w:val="24"/>
          <w:szCs w:val="24"/>
        </w:rPr>
      </w:pPr>
    </w:p>
    <w:p>
      <w:pPr>
        <w:pStyle w:val="Titl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jc w:val="left"/>
        <w:outlineLvl w:val="0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Classifications &amp; Naming of Epithelia</w:t>
      </w:r>
    </w:p>
    <w:p>
      <w:pPr>
        <w:pStyle w:val="Titl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jc w:val="left"/>
        <w:outlineLvl w:val="0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Default"/>
        <w:numPr>
          <w:ilvl w:val="1"/>
          <w:numId w:val="5"/>
        </w:numPr>
        <w:suppressAutoHyphens w:val="1"/>
        <w:spacing w:before="134" w:line="216" w:lineRule="auto"/>
        <w:jc w:val="left"/>
        <w:outlineLvl w:val="1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Simple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one layer of cells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134" w:line="216" w:lineRule="auto"/>
        <w:jc w:val="left"/>
        <w:outlineLvl w:val="1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numPr>
          <w:ilvl w:val="1"/>
          <w:numId w:val="5"/>
        </w:numPr>
        <w:suppressAutoHyphens w:val="1"/>
        <w:spacing w:before="134" w:line="216" w:lineRule="auto"/>
        <w:jc w:val="left"/>
        <w:outlineLvl w:val="1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Stratified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 xml:space="preserve">more than one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layer of cells</w:t>
      </w: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134" w:line="216" w:lineRule="auto"/>
        <w:jc w:val="left"/>
        <w:outlineLvl w:val="1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numPr>
          <w:ilvl w:val="1"/>
          <w:numId w:val="5"/>
        </w:numPr>
        <w:suppressAutoHyphens w:val="1"/>
        <w:spacing w:before="134"/>
        <w:jc w:val="left"/>
        <w:outlineLvl w:val="1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Squamous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  <w:lang w:val="de-DE"/>
        </w:rPr>
        <w:t xml:space="preserve">cells wider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than tall (plate or </w:t>
      </w:r>
      <w:r>
        <w:rPr>
          <w:rFonts w:ascii="Arial" w:hAnsi="Arial" w:hint="default"/>
          <w:sz w:val="24"/>
          <w:szCs w:val="24"/>
          <w:rtl w:val="0"/>
        </w:rPr>
        <w:t>“</w:t>
      </w:r>
      <w:r>
        <w:rPr>
          <w:rFonts w:ascii="Arial" w:hAnsi="Arial"/>
          <w:sz w:val="24"/>
          <w:szCs w:val="24"/>
          <w:rtl w:val="0"/>
          <w:lang w:val="fr-FR"/>
        </w:rPr>
        <w:t>scale</w:t>
      </w:r>
      <w:r>
        <w:rPr>
          <w:rFonts w:ascii="Arial" w:hAnsi="Arial" w:hint="default"/>
          <w:sz w:val="24"/>
          <w:szCs w:val="24"/>
          <w:rtl w:val="0"/>
        </w:rPr>
        <w:t xml:space="preserve">” </w:t>
      </w:r>
      <w:r>
        <w:rPr>
          <w:rFonts w:ascii="Arial" w:hAnsi="Arial"/>
          <w:sz w:val="24"/>
          <w:szCs w:val="24"/>
          <w:rtl w:val="0"/>
        </w:rPr>
        <w:t>like)</w:t>
      </w:r>
    </w:p>
    <w:p>
      <w:pPr>
        <w:pStyle w:val="Default"/>
        <w:numPr>
          <w:ilvl w:val="1"/>
          <w:numId w:val="5"/>
        </w:numPr>
        <w:suppressAutoHyphens w:val="1"/>
        <w:spacing w:before="134"/>
        <w:jc w:val="left"/>
        <w:outlineLvl w:val="1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numPr>
          <w:ilvl w:val="1"/>
          <w:numId w:val="5"/>
        </w:numPr>
        <w:suppressAutoHyphens w:val="1"/>
        <w:spacing w:before="134"/>
        <w:jc w:val="left"/>
        <w:outlineLvl w:val="1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Cuboidal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 xml:space="preserve">cells are as wide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as tall, as in cubes</w:t>
      </w:r>
    </w:p>
    <w:p>
      <w:pPr>
        <w:pStyle w:val="Default"/>
        <w:numPr>
          <w:ilvl w:val="1"/>
          <w:numId w:val="5"/>
        </w:numPr>
        <w:suppressAutoHyphens w:val="1"/>
        <w:spacing w:before="134"/>
        <w:jc w:val="left"/>
        <w:outlineLvl w:val="1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spacing w:before="134"/>
        <w:ind w:left="1170" w:hanging="450"/>
        <w:jc w:val="left"/>
        <w:outlineLvl w:val="1"/>
      </w:pPr>
      <w:r>
        <w:rPr>
          <w:rFonts w:ascii="Arial" w:hAnsi="Arial"/>
          <w:sz w:val="24"/>
          <w:szCs w:val="24"/>
          <w:rtl w:val="0"/>
          <w:lang w:val="sv-SE"/>
        </w:rPr>
        <w:t xml:space="preserve">Columnar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cells are taller than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they are wide, like columns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■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960" w:hanging="9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913" w:hanging="1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376" w:hanging="2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12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84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6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28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600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.0"/>
  </w:abstractNum>
  <w:abstractNum w:abstractNumId="3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60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66f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■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540" w:hanging="5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66ff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◻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70" w:hanging="45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ff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620" w:hanging="1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ff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◻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2376" w:hanging="21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ff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3120" w:hanging="2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3840" w:hanging="2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60" w:hanging="2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5280" w:hanging="2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6000" w:hanging="2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ff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numbering" w:styleId="Bullets.0">
    <w:name w:val="Bullets.0"/>
    <w:pPr>
      <w:numPr>
        <w:numId w:val="3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